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25" w:after="225" w:line="240"/>
        <w:ind w:right="0" w:left="0" w:firstLine="0"/>
        <w:jc w:val="left"/>
        <w:rPr>
          <w:rFonts w:ascii="var(--title-font)" w:hAnsi="var(--title-font)" w:cs="var(--title-font)" w:eastAsia="var(--title-font)"/>
          <w:b/>
          <w:color w:val="auto"/>
          <w:spacing w:val="-1"/>
          <w:position w:val="0"/>
          <w:sz w:val="48"/>
          <w:shd w:fill="auto" w:val="clear"/>
        </w:rPr>
      </w:pPr>
      <w:r>
        <w:rPr>
          <w:rFonts w:ascii="var(--title-font)" w:hAnsi="var(--title-font)" w:cs="var(--title-font)" w:eastAsia="var(--title-font)"/>
          <w:b/>
          <w:color w:val="auto"/>
          <w:spacing w:val="-1"/>
          <w:position w:val="0"/>
          <w:sz w:val="48"/>
          <w:shd w:fill="auto" w:val="clear"/>
        </w:rPr>
        <w:t xml:space="preserve">Centro participante en el Programa PROA+ «Transfórmate»</w:t>
      </w:r>
    </w:p>
    <w:p>
      <w:pPr>
        <w:spacing w:before="0" w:after="0" w:line="240"/>
        <w:ind w:right="0" w:left="0" w:firstLine="0"/>
        <w:jc w:val="left"/>
        <w:rPr>
          <w:rFonts w:ascii="DM Sans" w:hAnsi="DM Sans" w:cs="DM Sans" w:eastAsia="DM Sans"/>
          <w:color w:val="333333"/>
          <w:spacing w:val="0"/>
          <w:position w:val="0"/>
          <w:sz w:val="25"/>
          <w:shd w:fill="auto" w:val="clear"/>
        </w:rPr>
      </w:pPr>
    </w:p>
    <w:p>
      <w:pPr>
        <w:spacing w:before="120" w:after="120" w:line="240"/>
        <w:ind w:right="0" w:left="0" w:firstLine="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La </w:t>
      </w:r>
      <w:r>
        <w:rPr>
          <w:rFonts w:ascii="Times New Roman" w:hAnsi="Times New Roman" w:cs="Times New Roman" w:eastAsia="Times New Roman"/>
          <w:b/>
          <w:color w:val="333333"/>
          <w:spacing w:val="0"/>
          <w:position w:val="0"/>
          <w:sz w:val="25"/>
          <w:shd w:fill="auto" w:val="clear"/>
        </w:rPr>
        <w:t xml:space="preserve">Consejería de Educación y Deporte</w:t>
      </w:r>
      <w:r>
        <w:rPr>
          <w:rFonts w:ascii="Times New Roman" w:hAnsi="Times New Roman" w:cs="Times New Roman" w:eastAsia="Times New Roman"/>
          <w:color w:val="333333"/>
          <w:spacing w:val="0"/>
          <w:position w:val="0"/>
          <w:sz w:val="25"/>
          <w:shd w:fill="auto" w:val="clear"/>
        </w:rPr>
        <w:t xml:space="preserve"> publicó la Resolución de 18 de noviembre 2021 de la Dirección General de Atención a la Diversidad, Participación y Convivencia Escolar, por la que se establece la convocatoria, así como la organización y el funcionamiento del programa de orientación, avance y enriquecimiento educativo </w:t>
      </w:r>
      <w:r>
        <w:rPr>
          <w:rFonts w:ascii="Times New Roman" w:hAnsi="Times New Roman" w:cs="Times New Roman" w:eastAsia="Times New Roman"/>
          <w:b/>
          <w:color w:val="333333"/>
          <w:spacing w:val="0"/>
          <w:position w:val="0"/>
          <w:sz w:val="25"/>
          <w:shd w:fill="auto" w:val="clear"/>
        </w:rPr>
        <w:t xml:space="preserve">PROA+ «TRANSFÓRMATE»</w:t>
      </w:r>
      <w:r>
        <w:rPr>
          <w:rFonts w:ascii="Times New Roman" w:hAnsi="Times New Roman" w:cs="Times New Roman" w:eastAsia="Times New Roman"/>
          <w:color w:val="333333"/>
          <w:spacing w:val="0"/>
          <w:position w:val="0"/>
          <w:sz w:val="25"/>
          <w:shd w:fill="auto" w:val="clear"/>
        </w:rPr>
        <w:t xml:space="preserve"> en los centros docentes públicos.</w:t>
      </w:r>
    </w:p>
    <w:p>
      <w:pPr>
        <w:spacing w:before="120" w:after="120" w:line="240"/>
        <w:ind w:right="0" w:left="0" w:firstLine="0"/>
        <w:jc w:val="both"/>
        <w:rPr>
          <w:rFonts w:ascii="Times New Roman" w:hAnsi="Times New Roman" w:cs="Times New Roman" w:eastAsia="Times New Roman"/>
          <w:b/>
          <w:color w:val="444444"/>
          <w:spacing w:val="0"/>
          <w:position w:val="0"/>
          <w:sz w:val="32"/>
          <w:shd w:fill="auto" w:val="clear"/>
        </w:rPr>
      </w:pPr>
    </w:p>
    <w:p>
      <w:pPr>
        <w:spacing w:before="120" w:after="120" w:line="240"/>
        <w:ind w:right="0" w:left="0" w:firstLine="0"/>
        <w:jc w:val="both"/>
        <w:rPr>
          <w:rFonts w:ascii="Times New Roman" w:hAnsi="Times New Roman" w:cs="Times New Roman" w:eastAsia="Times New Roman"/>
          <w:b/>
          <w:color w:val="444444"/>
          <w:spacing w:val="0"/>
          <w:position w:val="0"/>
          <w:sz w:val="48"/>
          <w:shd w:fill="auto" w:val="clear"/>
        </w:rPr>
      </w:pPr>
      <w:r>
        <w:rPr>
          <w:rFonts w:ascii="Times New Roman" w:hAnsi="Times New Roman" w:cs="Times New Roman" w:eastAsia="Times New Roman"/>
          <w:b/>
          <w:color w:val="444444"/>
          <w:spacing w:val="0"/>
          <w:position w:val="0"/>
          <w:sz w:val="32"/>
          <w:shd w:fill="auto" w:val="clear"/>
        </w:rPr>
        <w:t xml:space="preserve">¿Qué es PROA+Transfórmate?</w:t>
      </w:r>
    </w:p>
    <w:p>
      <w:pPr>
        <w:spacing w:before="120" w:after="120" w:line="240"/>
        <w:ind w:right="0" w:left="0" w:firstLine="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Es un programa plurianual 2021/2024 que pretende impulsar en los centros educativos los cambios necesarios en la cultura organizativa para poder así garantizar el éxito escolar de todo el alumnado, prestando especial atención al alumnado que se encuentra en situación de vulnerabilidad. </w:t>
      </w:r>
    </w:p>
    <w:p>
      <w:pPr>
        <w:spacing w:before="120" w:after="120" w:line="240"/>
        <w:ind w:right="0" w:left="0" w:firstLine="0"/>
        <w:jc w:val="both"/>
        <w:rPr>
          <w:rFonts w:ascii="Times New Roman" w:hAnsi="Times New Roman" w:cs="Times New Roman" w:eastAsia="Times New Roman"/>
          <w:b/>
          <w:color w:val="333333"/>
          <w:spacing w:val="0"/>
          <w:position w:val="0"/>
          <w:sz w:val="28"/>
          <w:shd w:fill="auto" w:val="clear"/>
        </w:rPr>
      </w:pPr>
    </w:p>
    <w:p>
      <w:pPr>
        <w:spacing w:before="120" w:after="120" w:line="240"/>
        <w:ind w:right="0" w:left="0" w:firstLine="0"/>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Principios Pedagógicos y Líneas Estratégicas</w:t>
      </w:r>
    </w:p>
    <w:p>
      <w:pPr>
        <w:spacing w:before="120" w:after="120" w:line="240"/>
        <w:ind w:right="0" w:left="0" w:firstLine="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Se consideran, como núcleo fundamental del Programa, los siguientes principios pedagógicos:</w:t>
      </w:r>
    </w:p>
    <w:p>
      <w:pPr>
        <w:numPr>
          <w:ilvl w:val="0"/>
          <w:numId w:val="4"/>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La equidad, que garantiza la igualdad de oportunidades dentro de los centros.</w:t>
      </w:r>
    </w:p>
    <w:p>
      <w:pPr>
        <w:numPr>
          <w:ilvl w:val="0"/>
          <w:numId w:val="4"/>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La educación inclusiva.</w:t>
      </w:r>
    </w:p>
    <w:p>
      <w:pPr>
        <w:numPr>
          <w:ilvl w:val="0"/>
          <w:numId w:val="4"/>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Las expectativas positivas sobre las posibilidades de éxito de todo el alumnado.</w:t>
      </w:r>
    </w:p>
    <w:p>
      <w:pPr>
        <w:numPr>
          <w:ilvl w:val="0"/>
          <w:numId w:val="4"/>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El acompañamiento, la prevención y la detección temprana de las dificultades de aprendizaje, y la puesta en marcha de mecanismos de refuerzo.</w:t>
      </w:r>
    </w:p>
    <w:p>
      <w:pPr>
        <w:numPr>
          <w:ilvl w:val="0"/>
          <w:numId w:val="4"/>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La especial atención al desarrollo del ámbito socio-afectivo del alumnado.</w:t>
      </w:r>
    </w:p>
    <w:p>
      <w:pPr>
        <w:numPr>
          <w:ilvl w:val="0"/>
          <w:numId w:val="4"/>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El uso de conocimiento acumulado para la mejora continua del proceso de enseñanza-aprendizaje.</w:t>
      </w:r>
    </w:p>
    <w:p>
      <w:pPr>
        <w:spacing w:before="120" w:after="120" w:line="240"/>
        <w:ind w:right="0" w:left="0" w:firstLine="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Estos principios pedagógicos guían las cinco líneas estratégicas que sustentan el Programa, estas son:</w:t>
      </w:r>
    </w:p>
    <w:p>
      <w:pPr>
        <w:numPr>
          <w:ilvl w:val="0"/>
          <w:numId w:val="6"/>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Asegurar las condiciones mínimas de educabilidad del alumnado.</w:t>
      </w:r>
    </w:p>
    <w:p>
      <w:pPr>
        <w:numPr>
          <w:ilvl w:val="0"/>
          <w:numId w:val="6"/>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Apoyar al alumnado con dificultades de aprendizaje</w:t>
      </w:r>
    </w:p>
    <w:p>
      <w:pPr>
        <w:numPr>
          <w:ilvl w:val="0"/>
          <w:numId w:val="6"/>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Desarrollar actitudes positivas en el centro docente.</w:t>
      </w:r>
    </w:p>
    <w:p>
      <w:pPr>
        <w:numPr>
          <w:ilvl w:val="0"/>
          <w:numId w:val="6"/>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Mejorar el proceso de enseñanza y aprendizaje en aquellos aspectos</w:t>
      </w:r>
    </w:p>
    <w:p>
      <w:pPr>
        <w:numPr>
          <w:ilvl w:val="0"/>
          <w:numId w:val="6"/>
        </w:numPr>
        <w:spacing w:before="120" w:after="120" w:line="240"/>
        <w:ind w:right="0" w:left="72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Aplicar nuevas formas de organización y gestión del centro docente orientadas a mejorar el éxito educativo de todo el alumnado.</w:t>
      </w:r>
    </w:p>
    <w:p>
      <w:pPr>
        <w:spacing w:before="120" w:after="120" w:line="240"/>
        <w:ind w:right="0" w:left="0" w:firstLine="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b/>
          <w:color w:val="333333"/>
          <w:spacing w:val="0"/>
          <w:position w:val="0"/>
          <w:sz w:val="28"/>
          <w:shd w:fill="auto" w:val="clear"/>
        </w:rPr>
        <w:t xml:space="preserve">Objetivos</w:t>
      </w:r>
    </w:p>
    <w:p>
      <w:pPr>
        <w:numPr>
          <w:ilvl w:val="0"/>
          <w:numId w:val="8"/>
        </w:numPr>
        <w:spacing w:before="120" w:after="120" w:line="240"/>
        <w:ind w:right="0" w:left="36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El objetivo general es fortalecer a los centros docentes públicos con mayor porcentaje de alumnado en situación de vulnerabilidad socioeducativa, creando una cultura de centro que busque el éxito y la permanencia en el Sistema Educativo de todo el alumnado.</w:t>
      </w:r>
    </w:p>
    <w:p>
      <w:pPr>
        <w:numPr>
          <w:ilvl w:val="0"/>
          <w:numId w:val="8"/>
        </w:numPr>
        <w:spacing w:before="120" w:after="120" w:line="240"/>
        <w:ind w:right="0" w:left="36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Objetivos intermedios:</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Mejora de los resultados escolares de aprendizaje cognitivo y socioemocional.</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Reducción del número de alumnado que repite curso.</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Mejorar la atención al alumnado que presenta dificultades de aprendizaje.</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Reducción del absentismo escolar y aumento de la motivación del alumnado, teniendo como consecuencia la reducción del alumnado que abandona el Sistema Educativo.</w:t>
      </w:r>
    </w:p>
    <w:p>
      <w:pPr>
        <w:numPr>
          <w:ilvl w:val="0"/>
          <w:numId w:val="8"/>
        </w:numPr>
        <w:spacing w:before="120" w:after="120" w:line="240"/>
        <w:ind w:right="0" w:left="36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Objetivos sobre actitudes en el centro docente</w:t>
      </w:r>
    </w:p>
    <w:p>
      <w:pPr>
        <w:numPr>
          <w:ilvl w:val="0"/>
          <w:numId w:val="8"/>
        </w:numPr>
        <w:spacing w:before="120" w:after="120" w:line="240"/>
        <w:ind w:right="0" w:left="1068"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Favorecer un clima para la inclusión en el centro docente</w:t>
      </w:r>
    </w:p>
    <w:p>
      <w:pPr>
        <w:numPr>
          <w:ilvl w:val="0"/>
          <w:numId w:val="8"/>
        </w:numPr>
        <w:spacing w:before="120" w:after="120" w:line="240"/>
        <w:ind w:right="0" w:left="1068"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Mejora del nivel de satisfacción en el proceso de Enseñanza-Aprendizaje</w:t>
      </w:r>
    </w:p>
    <w:p>
      <w:pPr>
        <w:numPr>
          <w:ilvl w:val="0"/>
          <w:numId w:val="8"/>
        </w:numPr>
        <w:spacing w:before="120" w:after="120" w:line="240"/>
        <w:ind w:right="0" w:left="1068"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Mantener y mejorar las expectativas positivas del profesorado sobre todo el alumnado.</w:t>
      </w:r>
    </w:p>
    <w:p>
      <w:pPr>
        <w:numPr>
          <w:ilvl w:val="0"/>
          <w:numId w:val="8"/>
        </w:numPr>
        <w:spacing w:before="120" w:after="120" w:line="240"/>
        <w:ind w:right="0" w:left="36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Objetivo de desarrollo de estrategias y actividades palanca:</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Aplicar estrategias y actividades palanca facilitadoras de los objetivos intermedios</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Objetivos de recursos:</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Formar al Equipo Directivo y al Claustro de profesorado en liderazgo pedagógico y en las competencias necesarias para reducir el abandono escolar temprano y alcanzar los objetivos del Programa.</w:t>
      </w:r>
    </w:p>
    <w:p>
      <w:pPr>
        <w:numPr>
          <w:ilvl w:val="0"/>
          <w:numId w:val="8"/>
        </w:numPr>
        <w:spacing w:before="120" w:after="120" w:line="240"/>
        <w:ind w:right="0" w:left="108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Integrar la educación formal, no formal e informal al servicio de los objetivos intermedios. Utilizar los recursos disponibles para la consecución de los objetivos del Programa de forma eficiente y eficaz.</w:t>
      </w:r>
    </w:p>
    <w:p>
      <w:pPr>
        <w:numPr>
          <w:ilvl w:val="0"/>
          <w:numId w:val="8"/>
        </w:numPr>
        <w:spacing w:before="120" w:after="120" w:line="240"/>
        <w:ind w:right="0" w:left="360"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Objetivos del entorno:</w:t>
      </w:r>
    </w:p>
    <w:p>
      <w:pPr>
        <w:numPr>
          <w:ilvl w:val="0"/>
          <w:numId w:val="8"/>
        </w:numPr>
        <w:spacing w:before="120" w:after="120" w:line="240"/>
        <w:ind w:right="0" w:left="1068"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Colaborar en el aseguramiento de unas condiciones adecuadas de educabilidad para todo el alumnado.</w:t>
      </w:r>
    </w:p>
    <w:p>
      <w:pPr>
        <w:numPr>
          <w:ilvl w:val="0"/>
          <w:numId w:val="8"/>
        </w:numPr>
        <w:spacing w:before="120" w:after="120" w:line="240"/>
        <w:ind w:right="0" w:left="1068" w:hanging="360"/>
        <w:jc w:val="both"/>
        <w:rPr>
          <w:rFonts w:ascii="Times New Roman" w:hAnsi="Times New Roman" w:cs="Times New Roman" w:eastAsia="Times New Roman"/>
          <w:color w:val="333333"/>
          <w:spacing w:val="0"/>
          <w:position w:val="0"/>
          <w:sz w:val="25"/>
          <w:shd w:fill="auto" w:val="clear"/>
        </w:rPr>
      </w:pPr>
      <w:r>
        <w:rPr>
          <w:rFonts w:ascii="Times New Roman" w:hAnsi="Times New Roman" w:cs="Times New Roman" w:eastAsia="Times New Roman"/>
          <w:color w:val="333333"/>
          <w:spacing w:val="0"/>
          <w:position w:val="0"/>
          <w:sz w:val="25"/>
          <w:shd w:fill="auto" w:val="clear"/>
        </w:rPr>
        <w:t xml:space="preserve">Contribuir a reducir la segregación entre los centros docentes.</w:t>
      </w:r>
    </w:p>
    <w:p>
      <w:pPr>
        <w:spacing w:before="120" w:after="120" w:line="240"/>
        <w:ind w:right="0" w:left="0" w:firstLine="0"/>
        <w:jc w:val="both"/>
        <w:rPr>
          <w:rFonts w:ascii="Times New Roman" w:hAnsi="Times New Roman" w:cs="Times New Roman" w:eastAsia="Times New Roman"/>
          <w:color w:val="333333"/>
          <w:spacing w:val="0"/>
          <w:position w:val="0"/>
          <w:sz w:val="25"/>
          <w:shd w:fill="auto" w:val="clear"/>
        </w:rPr>
      </w:pPr>
    </w:p>
    <w:p>
      <w:pPr>
        <w:spacing w:before="120" w:after="120" w:line="240"/>
        <w:ind w:right="0" w:left="0" w:firstLine="0"/>
        <w:jc w:val="both"/>
        <w:rPr>
          <w:rFonts w:ascii="Times New Roman" w:hAnsi="Times New Roman" w:cs="Times New Roman" w:eastAsia="Times New Roman"/>
          <w:color w:val="333333"/>
          <w:spacing w:val="0"/>
          <w:position w:val="0"/>
          <w:sz w:val="25"/>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